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政府</w:t>
      </w: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决算</w:t>
      </w:r>
      <w:r>
        <w:rPr>
          <w:rFonts w:hint="eastAsia" w:ascii="方正小标宋简体" w:eastAsia="方正小标宋简体"/>
          <w:sz w:val="44"/>
          <w:szCs w:val="44"/>
        </w:rPr>
        <w:t>相关重要事项说明</w:t>
      </w:r>
    </w:p>
    <w:p>
      <w:pPr>
        <w:spacing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54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一、安溪</w:t>
      </w:r>
      <w:r>
        <w:rPr>
          <w:rFonts w:hint="eastAsia" w:ascii="黑体" w:hAnsi="仿宋" w:eastAsia="黑体" w:cs="Arial"/>
          <w:b/>
          <w:kern w:val="0"/>
          <w:sz w:val="32"/>
          <w:szCs w:val="32"/>
        </w:rPr>
        <w:t>县本级支出</w:t>
      </w:r>
      <w:r>
        <w:rPr>
          <w:rFonts w:hint="eastAsia" w:ascii="黑体" w:hAnsi="仿宋" w:eastAsia="黑体" w:cs="Arial"/>
          <w:b/>
          <w:kern w:val="0"/>
          <w:sz w:val="32"/>
          <w:szCs w:val="32"/>
          <w:lang w:eastAsia="zh-CN"/>
        </w:rPr>
        <w:t>决</w:t>
      </w:r>
      <w:r>
        <w:rPr>
          <w:rFonts w:hint="eastAsia" w:ascii="黑体" w:hAnsi="仿宋" w:eastAsia="黑体" w:cs="Arial"/>
          <w:b/>
          <w:kern w:val="0"/>
          <w:sz w:val="32"/>
          <w:szCs w:val="32"/>
        </w:rPr>
        <w:t>算说明</w:t>
      </w:r>
    </w:p>
    <w:p>
      <w:pPr>
        <w:spacing w:line="54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年8月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日安溪县第十七届人民代表大会常务委员会第</w:t>
      </w:r>
      <w:r>
        <w:rPr>
          <w:rFonts w:hint="eastAsia" w:ascii="仿宋_GB2312" w:eastAsia="仿宋_GB2312"/>
          <w:sz w:val="32"/>
          <w:szCs w:val="32"/>
          <w:lang w:eastAsia="zh-CN"/>
        </w:rPr>
        <w:t>二十三</w:t>
      </w:r>
      <w:r>
        <w:rPr>
          <w:rFonts w:hint="eastAsia" w:ascii="仿宋_GB2312" w:eastAsia="仿宋_GB2312"/>
          <w:sz w:val="32"/>
          <w:szCs w:val="32"/>
        </w:rPr>
        <w:t>次会议审议批准了《安溪县人民政府关于提请审议201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年安溪县财政收支决算草案的议案》，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年县本级一般公共预算</w:t>
      </w:r>
      <w:r>
        <w:rPr>
          <w:rFonts w:hint="eastAsia" w:ascii="仿宋_GB2312" w:eastAsia="仿宋_GB2312"/>
          <w:sz w:val="32"/>
          <w:szCs w:val="32"/>
          <w:lang w:eastAsia="zh-CN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611,468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,同比上年630,659万元下降3.04%,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具体情况如下：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一般公共服务支出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55,304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44,846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10,458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23.32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主要原因是增加乡镇超收分成奖励预算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kern w:val="0"/>
          <w:sz w:val="32"/>
          <w:szCs w:val="32"/>
        </w:rPr>
        <w:t>监察委人员及办案经费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。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（二）国防支出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469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237万元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增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232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98.89%，主要是增加国防动员费用232万元。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（三）公共安全支出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37,527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27,640万元，</w:t>
      </w:r>
      <w:r>
        <w:rPr>
          <w:rFonts w:hint="eastAsia" w:ascii="仿宋_GB2312" w:hAnsi="仿宋" w:eastAsia="仿宋_GB2312"/>
          <w:kern w:val="0"/>
          <w:sz w:val="32"/>
          <w:szCs w:val="32"/>
        </w:rPr>
        <w:t>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9,887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35.77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kern w:val="0"/>
          <w:sz w:val="32"/>
          <w:szCs w:val="32"/>
        </w:rPr>
        <w:t>主要原因是增加公安办案经费预算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10,544万元、减少“两院”等项目预算657万元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（四）教育支出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185,354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174,511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10,843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6.21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。主要原因是增加普通教育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经费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11,365元、增加职业教育经费1,740万元、减少其他教育支出2,262万元。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（五）科学技术支出11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417万元，较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15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730万元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kern w:val="0"/>
          <w:sz w:val="32"/>
          <w:szCs w:val="32"/>
        </w:rPr>
        <w:t>4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313万元，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27.42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，主要原因是</w:t>
      </w:r>
      <w:r>
        <w:rPr>
          <w:rFonts w:hint="eastAsia" w:ascii="仿宋_GB2312" w:hAnsi="仿宋" w:eastAsia="仿宋_GB2312"/>
          <w:kern w:val="0"/>
          <w:sz w:val="32"/>
          <w:szCs w:val="32"/>
        </w:rPr>
        <w:t>减少技术研究与开发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" w:eastAsia="仿宋_GB2312"/>
          <w:kern w:val="0"/>
          <w:sz w:val="32"/>
          <w:szCs w:val="32"/>
        </w:rPr>
        <w:t>安排产业研发经费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)3,508万元、应用研究500万元。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（六）文化体育与传媒支出8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721万元，较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9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048万元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减少327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3.61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主要原因是增加文物保护支出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652万元、增加体育支出239万元、增加新闻出版广播影视250万元、减少文化支出661万元、减少其他文化体育与传媒支出807万元</w:t>
      </w:r>
      <w:bookmarkStart w:id="0" w:name="_GoBack"/>
      <w:bookmarkEnd w:id="0"/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（七）社会保障和就业支出54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058万元，较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40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264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13,794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34.26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，主要原因是增加财政对基本养老保险基金的补助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5,957万元、民政管理事务1477万元、社会福利1158万元、最低生活保障2,821万元等。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（八）医疗卫生与计划生育支出51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277万元，较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78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299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减少27,022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34.51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，主要原因是减少财政对基本医疗保险基金的补助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33,992万元、计划生育事务3，036万元，增加公立医院和医疗卫生机构4,223万元和其他医疗卫生与计划生育支出4,892万元等。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（九）节能环保支出22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604万元，较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9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054万元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13,550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149.66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。主要原因是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kern w:val="0"/>
          <w:sz w:val="32"/>
          <w:szCs w:val="32"/>
        </w:rPr>
        <w:t>自然生态保护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10,716万元、污染防治854万元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（十）城乡社区支出51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988万元，较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109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975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减少57,987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52.73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。主要原因是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kern w:val="0"/>
          <w:sz w:val="32"/>
          <w:szCs w:val="32"/>
        </w:rPr>
        <w:t>城乡社区公共设施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64,911万元，增加城乡社区环境卫生支出3548万元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（十一）农林水支出74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621万元，较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73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409万元增加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1,212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1.65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,与去年相关持平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（十二）交通运输支出24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585万元，较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12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217万元增加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12,368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101.24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，主要是增加车辆购置税支出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10230万元和公路水路运输支出2,018万元。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（十三）资源勘探信息等支出3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658万元，较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6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222万元减少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2,564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41.21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主要原因是减少支持中小企业发展和管理支出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2,347万元。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（十四）商业服务业等支出3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691万元，较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2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066万元增加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1,625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78.65%，主要原因是增加旅游业管理与服务支出687万元和涉外发展服务支出738万元。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（十五）国土海洋气象等支出4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017万元，较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5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338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减少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1,321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24.75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。主要原因是减少国土资源事务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1,653万元，增加地震气象事务332万元。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（十六）住房保障支出3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611万元，较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6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465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减少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2,854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44.15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。主要原因是减少保障性安居工程支出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2,854万元。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（十七）粮油物资储备支出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1,181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2,089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减少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908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43.47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。主要原因是减少粮油事务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689万元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和粮油储备费用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219万元。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（十八）其他支出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285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</w:t>
      </w:r>
      <w:r>
        <w:rPr>
          <w:rFonts w:hint="eastAsia" w:ascii="仿宋_GB2312" w:hAnsi="仿宋" w:eastAsia="仿宋_GB2312"/>
          <w:kern w:val="0"/>
          <w:sz w:val="32"/>
          <w:szCs w:val="32"/>
        </w:rPr>
        <w:t>673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万元减少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388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57.65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（十九）债务付息支出16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kern w:val="0"/>
          <w:sz w:val="32"/>
          <w:szCs w:val="32"/>
        </w:rPr>
        <w:t>992万元，较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上年12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423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增加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4,569</w:t>
      </w:r>
      <w:r>
        <w:rPr>
          <w:rFonts w:hint="eastAsia" w:ascii="仿宋_GB2312" w:hAnsi="仿宋" w:eastAsia="仿宋_GB2312"/>
          <w:kern w:val="0"/>
          <w:sz w:val="32"/>
          <w:szCs w:val="32"/>
        </w:rPr>
        <w:t>万元，增长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36.78</w:t>
      </w:r>
      <w:r>
        <w:rPr>
          <w:rFonts w:ascii="仿宋_GB2312" w:hAnsi="仿宋" w:eastAsia="仿宋_GB2312"/>
          <w:kern w:val="0"/>
          <w:sz w:val="32"/>
          <w:szCs w:val="32"/>
        </w:rPr>
        <w:t>%</w:t>
      </w:r>
      <w:r>
        <w:rPr>
          <w:rFonts w:hint="eastAsia" w:ascii="仿宋_GB2312" w:hAnsi="仿宋" w:eastAsia="仿宋_GB2312"/>
          <w:kern w:val="0"/>
          <w:sz w:val="32"/>
          <w:szCs w:val="32"/>
        </w:rPr>
        <w:t>。主要原因是增加地方政府一般债务付息支出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4,569万元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黑体" w:hAnsi="仿宋" w:eastAsia="黑体" w:cs="Arial"/>
          <w:b/>
          <w:kern w:val="0"/>
          <w:sz w:val="32"/>
          <w:szCs w:val="32"/>
        </w:rPr>
      </w:pPr>
      <w:r>
        <w:rPr>
          <w:rFonts w:hint="eastAsia" w:ascii="黑体" w:hAnsi="仿宋" w:eastAsia="黑体" w:cs="Arial"/>
          <w:b/>
          <w:kern w:val="0"/>
          <w:sz w:val="32"/>
          <w:szCs w:val="32"/>
        </w:rPr>
        <w:t>二、财政转移支付安排情况</w:t>
      </w:r>
    </w:p>
    <w:p>
      <w:pPr>
        <w:spacing w:line="54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ascii="仿宋_GB2312" w:hAnsi="仿宋" w:eastAsia="仿宋_GB2312" w:cs="Arial"/>
          <w:kern w:val="0"/>
          <w:sz w:val="32"/>
          <w:szCs w:val="32"/>
        </w:rPr>
        <w:t>201</w:t>
      </w:r>
      <w:r>
        <w:rPr>
          <w:rFonts w:hint="eastAsia" w:ascii="仿宋_GB2312" w:hAnsi="仿宋" w:eastAsia="仿宋_GB2312" w:cs="Arial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年度安溪县对下税收返还和转移支付</w:t>
      </w:r>
      <w:r>
        <w:rPr>
          <w:rFonts w:hint="eastAsia" w:ascii="仿宋_GB2312" w:hAnsi="仿宋" w:eastAsia="仿宋_GB2312" w:cs="Arial"/>
          <w:kern w:val="0"/>
          <w:sz w:val="32"/>
          <w:szCs w:val="32"/>
          <w:lang w:eastAsia="zh-CN"/>
        </w:rPr>
        <w:t>决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算数为</w:t>
      </w:r>
      <w:r>
        <w:rPr>
          <w:rFonts w:ascii="仿宋_GB2312" w:hAnsi="仿宋" w:eastAsia="仿宋_GB2312" w:cs="Arial"/>
          <w:kern w:val="0"/>
          <w:sz w:val="32"/>
          <w:szCs w:val="32"/>
        </w:rPr>
        <w:t>0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万元，县级财政没有对下税收返还和转移支付情况。</w:t>
      </w: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eastAsia" w:ascii="黑体" w:hAnsi="仿宋" w:eastAsia="黑体" w:cs="Arial"/>
          <w:b/>
          <w:kern w:val="0"/>
          <w:sz w:val="32"/>
          <w:szCs w:val="32"/>
        </w:rPr>
      </w:pPr>
      <w:r>
        <w:rPr>
          <w:rFonts w:hint="eastAsia" w:ascii="黑体" w:hAnsi="仿宋" w:eastAsia="黑体" w:cs="Arial"/>
          <w:b/>
          <w:kern w:val="0"/>
          <w:sz w:val="32"/>
          <w:szCs w:val="32"/>
        </w:rPr>
        <w:t>举借政府债务情况</w:t>
      </w:r>
    </w:p>
    <w:p>
      <w:pPr>
        <w:spacing w:line="600" w:lineRule="exact"/>
        <w:ind w:firstLine="620"/>
        <w:rPr>
          <w:rFonts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年，全</w:t>
      </w:r>
      <w:r>
        <w:rPr>
          <w:rFonts w:hint="eastAsia" w:ascii="仿宋" w:hAnsi="仿宋" w:eastAsia="仿宋" w:cs="Arial"/>
          <w:kern w:val="0"/>
          <w:sz w:val="32"/>
          <w:szCs w:val="32"/>
        </w:rPr>
        <w:t>县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新增政府债务限额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53,200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，实际发行新增债券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53,053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（一般债券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37,053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，专项债券</w:t>
      </w:r>
      <w:r>
        <w:rPr>
          <w:rFonts w:hint="eastAsia" w:ascii="仿宋" w:hAnsi="仿宋" w:eastAsia="仿宋"/>
          <w:kern w:val="0"/>
          <w:sz w:val="32"/>
          <w:szCs w:val="32"/>
        </w:rPr>
        <w:t>16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kern w:val="0"/>
          <w:sz w:val="32"/>
          <w:szCs w:val="32"/>
        </w:rPr>
        <w:t>000万元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）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、再融资债券22,812万元、世行医改项目贷款147万元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。截至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年底，全</w:t>
      </w:r>
      <w:r>
        <w:rPr>
          <w:rFonts w:hint="eastAsia" w:ascii="仿宋" w:hAnsi="仿宋" w:eastAsia="仿宋" w:cs="Arial"/>
          <w:kern w:val="0"/>
          <w:sz w:val="32"/>
          <w:szCs w:val="32"/>
        </w:rPr>
        <w:t>县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政府债务余额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656,770.51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（一般债务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508,432.51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，专项债务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148,338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）；</w:t>
      </w:r>
      <w:r>
        <w:rPr>
          <w:rFonts w:hint="eastAsia" w:ascii="仿宋" w:hAnsi="仿宋" w:eastAsia="仿宋" w:cs="Arial"/>
          <w:kern w:val="0"/>
          <w:sz w:val="32"/>
          <w:szCs w:val="32"/>
        </w:rPr>
        <w:t>县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本级政府债务余额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656,771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（一般债务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508,433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，专项债务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148,338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），债务余额严格控制在上级核定的限额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847,212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内。</w:t>
      </w:r>
    </w:p>
    <w:p>
      <w:pPr>
        <w:spacing w:line="540" w:lineRule="exact"/>
        <w:ind w:firstLine="643" w:firstLineChars="200"/>
        <w:rPr>
          <w:rFonts w:ascii="黑体" w:hAnsi="仿宋" w:eastAsia="黑体" w:cs="Arial"/>
          <w:b/>
          <w:kern w:val="0"/>
          <w:sz w:val="32"/>
          <w:szCs w:val="32"/>
        </w:rPr>
      </w:pPr>
      <w:r>
        <w:rPr>
          <w:rFonts w:hint="eastAsia" w:ascii="黑体" w:hAnsi="仿宋" w:eastAsia="黑体" w:cs="Arial"/>
          <w:b/>
          <w:kern w:val="0"/>
          <w:sz w:val="32"/>
          <w:szCs w:val="32"/>
        </w:rPr>
        <w:t>四、预算绩效开展情况</w:t>
      </w:r>
    </w:p>
    <w:p>
      <w:pPr>
        <w:spacing w:line="540" w:lineRule="exact"/>
        <w:ind w:firstLine="620"/>
        <w:rPr>
          <w:rFonts w:hint="eastAsia"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201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年，安溪县（县、区）财政部门对地方政府债券及贷款本息、农村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eastAsia="zh-CN"/>
        </w:rPr>
        <w:t>保洁经费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等4个领域6个财政重点支出项目进行了绩效评价，涉及财政资金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lang w:val="en-US" w:eastAsia="zh-CN"/>
        </w:rPr>
        <w:t>46,350.39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万元。其中，绩效等级达到“优”的有5项，达到“良”的有1项，评为“合格”的有0项。</w:t>
      </w:r>
    </w:p>
    <w:sectPr>
      <w:footerReference r:id="rId3" w:type="default"/>
      <w:footerReference r:id="rId4" w:type="even"/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DCDA"/>
    <w:multiLevelType w:val="singleLevel"/>
    <w:tmpl w:val="1DA2DCD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BF240D"/>
    <w:multiLevelType w:val="singleLevel"/>
    <w:tmpl w:val="37BF240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4A6"/>
    <w:rsid w:val="000204A3"/>
    <w:rsid w:val="0002498A"/>
    <w:rsid w:val="00057A3C"/>
    <w:rsid w:val="000A1C09"/>
    <w:rsid w:val="00102DF0"/>
    <w:rsid w:val="001B40F3"/>
    <w:rsid w:val="002411BA"/>
    <w:rsid w:val="00274ECC"/>
    <w:rsid w:val="00313891"/>
    <w:rsid w:val="004174C0"/>
    <w:rsid w:val="00467BB1"/>
    <w:rsid w:val="004850F5"/>
    <w:rsid w:val="004E4049"/>
    <w:rsid w:val="005033BE"/>
    <w:rsid w:val="005775D9"/>
    <w:rsid w:val="00580AD9"/>
    <w:rsid w:val="005C6F44"/>
    <w:rsid w:val="005D12B2"/>
    <w:rsid w:val="00624354"/>
    <w:rsid w:val="00632EE3"/>
    <w:rsid w:val="00651375"/>
    <w:rsid w:val="006A248B"/>
    <w:rsid w:val="006E5D33"/>
    <w:rsid w:val="00725E11"/>
    <w:rsid w:val="0079767D"/>
    <w:rsid w:val="007A0B3E"/>
    <w:rsid w:val="00856447"/>
    <w:rsid w:val="008A627F"/>
    <w:rsid w:val="00976B72"/>
    <w:rsid w:val="009A4DFD"/>
    <w:rsid w:val="009D34A6"/>
    <w:rsid w:val="00AC7B7E"/>
    <w:rsid w:val="00AE1089"/>
    <w:rsid w:val="00B03E7C"/>
    <w:rsid w:val="00BA3309"/>
    <w:rsid w:val="00BB58D6"/>
    <w:rsid w:val="00BB7305"/>
    <w:rsid w:val="00CB28D1"/>
    <w:rsid w:val="00CD0376"/>
    <w:rsid w:val="00D876F1"/>
    <w:rsid w:val="00D905AB"/>
    <w:rsid w:val="00DC7E19"/>
    <w:rsid w:val="00E426B2"/>
    <w:rsid w:val="00E469B6"/>
    <w:rsid w:val="00E81346"/>
    <w:rsid w:val="00EC1400"/>
    <w:rsid w:val="00EC60A7"/>
    <w:rsid w:val="00EE575F"/>
    <w:rsid w:val="00F41ABB"/>
    <w:rsid w:val="00F93EB4"/>
    <w:rsid w:val="00FC6FDA"/>
    <w:rsid w:val="067E1E5B"/>
    <w:rsid w:val="0B4266EF"/>
    <w:rsid w:val="13982758"/>
    <w:rsid w:val="177D1C76"/>
    <w:rsid w:val="187D755F"/>
    <w:rsid w:val="1CD86F21"/>
    <w:rsid w:val="20833F0C"/>
    <w:rsid w:val="237C26B3"/>
    <w:rsid w:val="24B24078"/>
    <w:rsid w:val="29911D9C"/>
    <w:rsid w:val="29E7069A"/>
    <w:rsid w:val="2BEB33AC"/>
    <w:rsid w:val="35E76B1C"/>
    <w:rsid w:val="36320D1B"/>
    <w:rsid w:val="3894743D"/>
    <w:rsid w:val="3A7819BC"/>
    <w:rsid w:val="3AB00743"/>
    <w:rsid w:val="3B285599"/>
    <w:rsid w:val="3CBA38C2"/>
    <w:rsid w:val="40FB6512"/>
    <w:rsid w:val="47EE664E"/>
    <w:rsid w:val="4ADA5063"/>
    <w:rsid w:val="5131099F"/>
    <w:rsid w:val="56553E72"/>
    <w:rsid w:val="58FF274A"/>
    <w:rsid w:val="5A145F1C"/>
    <w:rsid w:val="6C173E07"/>
    <w:rsid w:val="6D410C2E"/>
    <w:rsid w:val="6E153CD8"/>
    <w:rsid w:val="6F9F7D8F"/>
    <w:rsid w:val="7116089D"/>
    <w:rsid w:val="74AF45AE"/>
    <w:rsid w:val="77BE31AB"/>
    <w:rsid w:val="77EB17FD"/>
    <w:rsid w:val="782F4DCA"/>
    <w:rsid w:val="7A397E29"/>
    <w:rsid w:val="7FC0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styleId="6">
    <w:name w:val="page number"/>
    <w:basedOn w:val="4"/>
    <w:qFormat/>
    <w:uiPriority w:val="99"/>
    <w:rPr>
      <w:rFonts w:cs="Times New Roman"/>
    </w:rPr>
  </w:style>
  <w:style w:type="character" w:customStyle="1" w:styleId="8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276</Words>
  <Characters>1577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晨曦</cp:lastModifiedBy>
  <cp:lastPrinted>2020-03-30T03:50:00Z</cp:lastPrinted>
  <dcterms:modified xsi:type="dcterms:W3CDTF">2020-03-30T08:00:55Z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